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07A7566C" w:rsidR="00802B5C" w:rsidRDefault="0052135A"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Agenda</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7FCE6C7E" w:rsidR="00802B5C" w:rsidRDefault="00A95514">
            <w:pPr>
              <w:jc w:val="right"/>
              <w:rPr>
                <w:b/>
              </w:rPr>
            </w:pPr>
            <w:r>
              <w:rPr>
                <w:b/>
              </w:rPr>
              <w:t>Friday</w:t>
            </w:r>
            <w:r w:rsidR="00567563">
              <w:rPr>
                <w:b/>
              </w:rPr>
              <w:t xml:space="preserve">, </w:t>
            </w:r>
            <w:r>
              <w:rPr>
                <w:b/>
              </w:rPr>
              <w:t>January</w:t>
            </w:r>
            <w:r w:rsidR="00DB11F2">
              <w:rPr>
                <w:b/>
              </w:rPr>
              <w:t xml:space="preserve"> </w:t>
            </w:r>
            <w:r>
              <w:rPr>
                <w:b/>
              </w:rPr>
              <w:t>2</w:t>
            </w:r>
            <w:r w:rsidR="004E41F1">
              <w:rPr>
                <w:b/>
              </w:rPr>
              <w:t>3</w:t>
            </w:r>
            <w:r w:rsidR="00567563">
              <w:rPr>
                <w:b/>
              </w:rPr>
              <w:t xml:space="preserve"> 202</w:t>
            </w:r>
            <w:r>
              <w:rPr>
                <w:b/>
              </w:rPr>
              <w:t>6</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if you need assistance to participate in this meeting, please contact the District’s headquarters at 661-720-9297 to request a reasonable accommodation. The District’s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Public records distributed to the Board at a public meeting will be available to the public at such meeting if they were prepared by the District.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ORDER/Llamar a la Junta el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r>
        <w:rPr>
          <w:rFonts w:ascii="Bookman Old Style" w:eastAsia="Bookman Old Style" w:hAnsi="Bookman Old Style" w:cs="Bookman Old Style"/>
        </w:rPr>
        <w:t>Moved:_____; Seconded:____; Ayes:___ Noes:___ Abstain:__ Absent:____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COMMENTS/Comentarios Públicos</w:t>
      </w:r>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210E3B31" w14:textId="77777777" w:rsidR="00802B5C" w:rsidRDefault="00802B5C">
      <w:pPr>
        <w:jc w:val="both"/>
        <w:rPr>
          <w:rFonts w:ascii="Bookman Old Style" w:eastAsia="Bookman Old Style" w:hAnsi="Bookman Old Style" w:cs="Bookman Old Style"/>
        </w:rPr>
      </w:pP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Minutes/Aprovacion de los Actas:</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41EAB174"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A95514">
        <w:rPr>
          <w:rFonts w:ascii="Bookman Old Style" w:eastAsia="Bookman Old Style" w:hAnsi="Bookman Old Style" w:cs="Bookman Old Style"/>
          <w:color w:val="000000"/>
        </w:rPr>
        <w:t>November</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w:t>
      </w:r>
      <w:r w:rsidR="00A95514">
        <w:rPr>
          <w:rFonts w:ascii="Bookman Old Style" w:eastAsia="Bookman Old Style" w:hAnsi="Bookman Old Style" w:cs="Bookman Old Style"/>
          <w:color w:val="000000"/>
        </w:rPr>
        <w:t>8</w:t>
      </w:r>
      <w:r>
        <w:rPr>
          <w:rFonts w:ascii="Bookman Old Style" w:eastAsia="Bookman Old Style" w:hAnsi="Bookman Old Style" w:cs="Bookman Old Style"/>
          <w:color w:val="000000"/>
        </w:rPr>
        <w:t>th, 2025.</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 xml:space="preserve">Approval of Claims/Aprobación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16EBF454"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95514">
        <w:rPr>
          <w:rFonts w:ascii="Bookman Old Style" w:eastAsia="Bookman Old Style" w:hAnsi="Bookman Old Style" w:cs="Bookman Old Style"/>
        </w:rPr>
        <w:t>December</w:t>
      </w:r>
      <w:r w:rsidR="00BD7E3B">
        <w:rPr>
          <w:rFonts w:ascii="Bookman Old Style" w:eastAsia="Bookman Old Style" w:hAnsi="Bookman Old Style" w:cs="Bookman Old Style"/>
        </w:rPr>
        <w:t xml:space="preserve"> &amp; January</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2279908C"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70324D">
        <w:rPr>
          <w:rFonts w:ascii="Bookman Old Style" w:eastAsia="Bookman Old Style" w:hAnsi="Bookman Old Style" w:cs="Bookman Old Style"/>
          <w:i/>
        </w:rPr>
        <w:t>December &amp; January</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5D009D4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27F1F17" w14:textId="77777777" w:rsidR="00AF1C2E" w:rsidRDefault="00AF1C2E">
      <w:pPr>
        <w:tabs>
          <w:tab w:val="left" w:pos="720"/>
          <w:tab w:val="left" w:pos="1350"/>
        </w:tabs>
        <w:ind w:left="990"/>
        <w:jc w:val="both"/>
        <w:rPr>
          <w:rFonts w:ascii="Bookman Old Style" w:eastAsia="Bookman Old Style" w:hAnsi="Bookman Old Style" w:cs="Bookman Old Style"/>
        </w:rPr>
      </w:pPr>
    </w:p>
    <w:p w14:paraId="673779A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7718589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57750B5" w14:textId="77777777" w:rsidR="00AF1C2E" w:rsidRDefault="00AF1C2E" w:rsidP="00AF1C2E">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REPORTS AND OTHER ITEMS OF INTEREST: </w:t>
      </w:r>
    </w:p>
    <w:p w14:paraId="6D5FED1E" w14:textId="77777777" w:rsidR="00AF1C2E" w:rsidRDefault="00AF1C2E" w:rsidP="00AF1C2E">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4188F0A" w14:textId="77777777" w:rsidR="00AF1C2E" w:rsidRDefault="00AF1C2E" w:rsidP="00AF1C2E">
      <w:pPr>
        <w:ind w:left="630"/>
        <w:jc w:val="both"/>
        <w:rPr>
          <w:rFonts w:ascii="Bookman Old Style" w:eastAsia="Bookman Old Style" w:hAnsi="Bookman Old Style" w:cs="Bookman Old Style"/>
        </w:rPr>
      </w:pPr>
    </w:p>
    <w:p w14:paraId="0D341EEB" w14:textId="3FD2BE4F" w:rsidR="00AF1C2E" w:rsidRPr="00817988" w:rsidRDefault="00AF1C2E" w:rsidP="00AF1C2E">
      <w:pPr>
        <w:tabs>
          <w:tab w:val="left" w:pos="720"/>
        </w:tabs>
        <w:rPr>
          <w:rFonts w:ascii="Georgia" w:hAnsi="Georgia"/>
          <w:b/>
          <w:sz w:val="22"/>
          <w:szCs w:val="22"/>
        </w:rPr>
      </w:pPr>
      <w:r>
        <w:rPr>
          <w:rFonts w:ascii="Georgia" w:eastAsia="Bookman Old Style" w:hAnsi="Georgia" w:cs="Bookman Old Style"/>
          <w:b/>
          <w:bCs/>
          <w:sz w:val="22"/>
          <w:szCs w:val="22"/>
        </w:rPr>
        <w:t>6</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2392DE43"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4656F5B" w14:textId="77777777" w:rsidR="00AF1C2E" w:rsidRPr="00817988" w:rsidRDefault="00AF1C2E" w:rsidP="00AF1C2E">
      <w:pPr>
        <w:ind w:left="720"/>
        <w:jc w:val="both"/>
        <w:rPr>
          <w:rFonts w:ascii="Georgia" w:eastAsia="Bookman Old Style" w:hAnsi="Georgia" w:cs="Bookman Old Style"/>
          <w:sz w:val="22"/>
          <w:szCs w:val="22"/>
        </w:rPr>
      </w:pPr>
    </w:p>
    <w:p w14:paraId="526DC6AE"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F3D3590" w14:textId="17A0C646" w:rsidR="00A24B4B" w:rsidRDefault="00AF1C2E" w:rsidP="00AF1C2E">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3D6826FF" w14:textId="77777777" w:rsidR="009B1B4C" w:rsidRDefault="009B1B4C" w:rsidP="00AF1C2E">
      <w:pPr>
        <w:tabs>
          <w:tab w:val="left" w:pos="720"/>
        </w:tabs>
        <w:ind w:left="720"/>
        <w:rPr>
          <w:rFonts w:ascii="Georgia" w:eastAsia="Bookman Old Style" w:hAnsi="Georgia" w:cs="Bookman Old Style"/>
          <w:sz w:val="22"/>
          <w:szCs w:val="22"/>
        </w:rPr>
      </w:pPr>
    </w:p>
    <w:p w14:paraId="66802DB4" w14:textId="656CF752" w:rsidR="000F7BEB" w:rsidRPr="009B1B4C" w:rsidRDefault="000F7BEB" w:rsidP="000F7BEB">
      <w:pPr>
        <w:tabs>
          <w:tab w:val="left" w:pos="720"/>
        </w:tabs>
        <w:rPr>
          <w:rFonts w:ascii="Georgia" w:eastAsia="Bookman Old Style" w:hAnsi="Georgia" w:cs="Bookman Old Style"/>
          <w:b/>
          <w:bCs/>
          <w:sz w:val="22"/>
          <w:szCs w:val="22"/>
        </w:rPr>
      </w:pPr>
      <w:r w:rsidRPr="009B1B4C">
        <w:rPr>
          <w:rFonts w:ascii="Georgia" w:eastAsia="Bookman Old Style" w:hAnsi="Georgia" w:cs="Bookman Old Style"/>
          <w:b/>
          <w:bCs/>
          <w:sz w:val="22"/>
          <w:szCs w:val="22"/>
        </w:rPr>
        <w:t xml:space="preserve">6b.  </w:t>
      </w:r>
      <w:r w:rsidR="009B1B4C" w:rsidRPr="009B1B4C">
        <w:rPr>
          <w:rFonts w:ascii="Georgia" w:eastAsia="Bookman Old Style" w:hAnsi="Georgia" w:cs="Bookman Old Style"/>
          <w:b/>
          <w:bCs/>
          <w:sz w:val="22"/>
          <w:szCs w:val="22"/>
        </w:rPr>
        <w:t xml:space="preserve">DUDEK </w:t>
      </w:r>
    </w:p>
    <w:p w14:paraId="679F2025"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EA12340" w14:textId="77777777" w:rsidR="009B1B4C" w:rsidRPr="00817988" w:rsidRDefault="009B1B4C" w:rsidP="009B1B4C">
      <w:pPr>
        <w:ind w:left="720"/>
        <w:jc w:val="both"/>
        <w:rPr>
          <w:rFonts w:ascii="Georgia" w:eastAsia="Bookman Old Style" w:hAnsi="Georgia" w:cs="Bookman Old Style"/>
          <w:sz w:val="22"/>
          <w:szCs w:val="22"/>
        </w:rPr>
      </w:pPr>
    </w:p>
    <w:p w14:paraId="66D23918"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29E54EAC" w14:textId="77777777" w:rsidR="009B1B4C" w:rsidRDefault="009B1B4C" w:rsidP="009B1B4C">
      <w:pPr>
        <w:tabs>
          <w:tab w:val="left" w:pos="720"/>
        </w:tabs>
        <w:ind w:left="720"/>
        <w:rPr>
          <w:rFonts w:ascii="Georgia" w:hAnsi="Georgia"/>
          <w:sz w:val="22"/>
          <w:szCs w:val="22"/>
        </w:rPr>
      </w:pPr>
      <w:r w:rsidRPr="00817988">
        <w:rPr>
          <w:rFonts w:ascii="Georgia" w:eastAsia="Bookman Old Style" w:hAnsi="Georgia" w:cs="Bookman Old Style"/>
          <w:sz w:val="22"/>
          <w:szCs w:val="22"/>
        </w:rPr>
        <w:t>Moved:_____; Seconded:____; Ayes:___ Noes:___ Abstain:__ Absent:____</w:t>
      </w:r>
    </w:p>
    <w:p w14:paraId="0DA0A9CF" w14:textId="77777777" w:rsidR="009B1B4C" w:rsidRDefault="009B1B4C" w:rsidP="000F7BEB">
      <w:pPr>
        <w:tabs>
          <w:tab w:val="left" w:pos="720"/>
        </w:tabs>
        <w:rPr>
          <w:rFonts w:ascii="Georgia" w:hAnsi="Georgia"/>
          <w:sz w:val="22"/>
          <w:szCs w:val="22"/>
        </w:rPr>
      </w:pPr>
    </w:p>
    <w:p w14:paraId="5F5EA258" w14:textId="77777777" w:rsidR="00AF1C2E" w:rsidRDefault="00AF1C2E" w:rsidP="00AF1C2E">
      <w:pPr>
        <w:tabs>
          <w:tab w:val="left" w:pos="720"/>
        </w:tabs>
        <w:rPr>
          <w:rFonts w:ascii="Georgia" w:hAnsi="Georgia"/>
          <w:sz w:val="22"/>
          <w:szCs w:val="22"/>
        </w:rPr>
      </w:pPr>
    </w:p>
    <w:p w14:paraId="74DD7866" w14:textId="1EDF1C67" w:rsidR="007B3606" w:rsidRDefault="007B3606" w:rsidP="00C35441">
      <w:pPr>
        <w:jc w:val="both"/>
        <w:rPr>
          <w:rFonts w:ascii="Bookman Old Style" w:eastAsia="Bookman Old Style" w:hAnsi="Bookman Old Style" w:cs="Bookman Old Style"/>
        </w:rPr>
      </w:pPr>
      <w:bookmarkStart w:id="3" w:name="_heading=h.ji2x4zyqw2bz" w:colFirst="0" w:colLast="0"/>
      <w:bookmarkEnd w:id="3"/>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3889ACEB" w14:textId="11EDFE32" w:rsidR="00000672" w:rsidRDefault="00AF1C2E"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D42C5A">
        <w:rPr>
          <w:rFonts w:ascii="Georgia" w:eastAsia="Bookman Old Style" w:hAnsi="Georgia" w:cs="Bookman Old Style"/>
          <w:b/>
          <w:bCs/>
          <w:sz w:val="22"/>
          <w:szCs w:val="22"/>
        </w:rPr>
        <w:t xml:space="preserve">.  </w:t>
      </w:r>
      <w:r w:rsidR="00D42C5A">
        <w:rPr>
          <w:rFonts w:ascii="Georgia" w:eastAsia="Bookman Old Style" w:hAnsi="Georgia" w:cs="Bookman Old Style"/>
          <w:b/>
          <w:bCs/>
          <w:sz w:val="22"/>
          <w:szCs w:val="22"/>
        </w:rPr>
        <w:tab/>
      </w:r>
      <w:r w:rsidR="006503ED">
        <w:rPr>
          <w:rFonts w:ascii="Georgia" w:eastAsia="Bookman Old Style" w:hAnsi="Georgia" w:cs="Bookman Old Style"/>
          <w:b/>
          <w:bCs/>
          <w:sz w:val="22"/>
          <w:szCs w:val="22"/>
        </w:rPr>
        <w:t xml:space="preserve">WWTP Aerator </w:t>
      </w:r>
      <w:r w:rsidR="00785E4B">
        <w:rPr>
          <w:rFonts w:ascii="Georgia" w:eastAsia="Bookman Old Style" w:hAnsi="Georgia" w:cs="Bookman Old Style"/>
          <w:b/>
          <w:bCs/>
          <w:sz w:val="22"/>
          <w:szCs w:val="22"/>
        </w:rPr>
        <w:t>Equipment</w:t>
      </w:r>
      <w:r w:rsidR="00935C72">
        <w:rPr>
          <w:rFonts w:ascii="Georgia" w:eastAsia="Bookman Old Style" w:hAnsi="Georgia" w:cs="Bookman Old Style"/>
          <w:b/>
          <w:bCs/>
          <w:sz w:val="22"/>
          <w:szCs w:val="22"/>
        </w:rPr>
        <w:t xml:space="preserve">, Software, and more.  </w:t>
      </w:r>
    </w:p>
    <w:p w14:paraId="658AFE92" w14:textId="3CECABB0" w:rsidR="00D42C5A" w:rsidRDefault="00AF1C2E" w:rsidP="00D42C5A">
      <w:pPr>
        <w:pStyle w:val="ListParagraph"/>
        <w:numPr>
          <w:ilvl w:val="0"/>
          <w:numId w:val="5"/>
        </w:num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D42C5A">
        <w:rPr>
          <w:rFonts w:ascii="Georgia" w:eastAsia="Bookman Old Style" w:hAnsi="Georgia" w:cs="Bookman Old Style"/>
          <w:b/>
          <w:bCs/>
          <w:sz w:val="22"/>
          <w:szCs w:val="22"/>
        </w:rPr>
        <w:t>.a.</w:t>
      </w:r>
      <w:r w:rsidR="00794D6C">
        <w:rPr>
          <w:rFonts w:ascii="Georgia" w:eastAsia="Bookman Old Style" w:hAnsi="Georgia" w:cs="Bookman Old Style"/>
          <w:b/>
          <w:bCs/>
          <w:sz w:val="22"/>
          <w:szCs w:val="22"/>
        </w:rPr>
        <w:t xml:space="preserve">  </w:t>
      </w:r>
      <w:r w:rsidR="00794D6C" w:rsidRPr="00794D6C">
        <w:rPr>
          <w:rFonts w:ascii="Georgia" w:eastAsia="Bookman Old Style" w:hAnsi="Georgia" w:cs="Bookman Old Style"/>
          <w:sz w:val="22"/>
          <w:szCs w:val="22"/>
        </w:rPr>
        <w:t>Mario Sagredo Electrical Inc.</w:t>
      </w:r>
      <w:r w:rsidR="00794D6C">
        <w:rPr>
          <w:rFonts w:ascii="Georgia" w:eastAsia="Bookman Old Style" w:hAnsi="Georgia" w:cs="Bookman Old Style"/>
          <w:b/>
          <w:bCs/>
          <w:sz w:val="22"/>
          <w:szCs w:val="22"/>
        </w:rPr>
        <w:t xml:space="preserve"> </w:t>
      </w:r>
    </w:p>
    <w:p w14:paraId="2ADA4EF7" w14:textId="6F6D61E9" w:rsidR="00794D6C" w:rsidRDefault="00AF1C2E" w:rsidP="00D42C5A">
      <w:pPr>
        <w:pStyle w:val="ListParagraph"/>
        <w:numPr>
          <w:ilvl w:val="0"/>
          <w:numId w:val="5"/>
        </w:num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794D6C">
        <w:rPr>
          <w:rFonts w:ascii="Georgia" w:eastAsia="Bookman Old Style" w:hAnsi="Georgia" w:cs="Bookman Old Style"/>
          <w:b/>
          <w:bCs/>
          <w:sz w:val="22"/>
          <w:szCs w:val="22"/>
        </w:rPr>
        <w:t xml:space="preserve">.b.  </w:t>
      </w:r>
      <w:r w:rsidR="00794D6C" w:rsidRPr="00DE1A20">
        <w:rPr>
          <w:rFonts w:ascii="Georgia" w:eastAsia="Bookman Old Style" w:hAnsi="Georgia" w:cs="Bookman Old Style"/>
          <w:sz w:val="22"/>
          <w:szCs w:val="22"/>
        </w:rPr>
        <w:t xml:space="preserve">Raco, alarm services for Well 6 and </w:t>
      </w:r>
      <w:r w:rsidR="00DE1A20" w:rsidRPr="00DE1A20">
        <w:rPr>
          <w:rFonts w:ascii="Georgia" w:eastAsia="Bookman Old Style" w:hAnsi="Georgia" w:cs="Bookman Old Style"/>
          <w:sz w:val="22"/>
          <w:szCs w:val="22"/>
        </w:rPr>
        <w:t>storage tank</w:t>
      </w:r>
      <w:r w:rsidR="00DE1A20">
        <w:rPr>
          <w:rFonts w:ascii="Georgia" w:eastAsia="Bookman Old Style" w:hAnsi="Georgia" w:cs="Bookman Old Style"/>
          <w:b/>
          <w:bCs/>
          <w:sz w:val="22"/>
          <w:szCs w:val="22"/>
        </w:rPr>
        <w:t xml:space="preserve">.  </w:t>
      </w:r>
    </w:p>
    <w:p w14:paraId="357A8225" w14:textId="3468063C" w:rsidR="00DE1A20" w:rsidRDefault="00AF1C2E" w:rsidP="00D42C5A">
      <w:pPr>
        <w:pStyle w:val="ListParagraph"/>
        <w:numPr>
          <w:ilvl w:val="0"/>
          <w:numId w:val="5"/>
        </w:numPr>
        <w:tabs>
          <w:tab w:val="left" w:pos="720"/>
        </w:tabs>
        <w:rPr>
          <w:rFonts w:ascii="Georgia" w:eastAsia="Bookman Old Style" w:hAnsi="Georgia" w:cs="Bookman Old Style"/>
          <w:sz w:val="22"/>
          <w:szCs w:val="22"/>
        </w:rPr>
      </w:pPr>
      <w:r>
        <w:rPr>
          <w:rFonts w:ascii="Georgia" w:eastAsia="Bookman Old Style" w:hAnsi="Georgia" w:cs="Bookman Old Style"/>
          <w:b/>
          <w:bCs/>
          <w:sz w:val="22"/>
          <w:szCs w:val="22"/>
        </w:rPr>
        <w:t>7</w:t>
      </w:r>
      <w:r w:rsidR="00DE1A20">
        <w:rPr>
          <w:rFonts w:ascii="Georgia" w:eastAsia="Bookman Old Style" w:hAnsi="Georgia" w:cs="Bookman Old Style"/>
          <w:b/>
          <w:bCs/>
          <w:sz w:val="22"/>
          <w:szCs w:val="22"/>
        </w:rPr>
        <w:t xml:space="preserve">.c.  </w:t>
      </w:r>
      <w:r w:rsidR="00DE1A20" w:rsidRPr="00DE1A20">
        <w:rPr>
          <w:rFonts w:ascii="Georgia" w:eastAsia="Bookman Old Style" w:hAnsi="Georgia" w:cs="Bookman Old Style"/>
          <w:sz w:val="22"/>
          <w:szCs w:val="22"/>
        </w:rPr>
        <w:t xml:space="preserve">Current Software  </w:t>
      </w:r>
    </w:p>
    <w:p w14:paraId="2B6E6321" w14:textId="67EA3423" w:rsidR="00A15C9C" w:rsidRPr="000F7BEB" w:rsidRDefault="00AF1C2E" w:rsidP="000F7BEB">
      <w:pPr>
        <w:pStyle w:val="ListParagraph"/>
        <w:numPr>
          <w:ilvl w:val="0"/>
          <w:numId w:val="5"/>
        </w:numPr>
        <w:tabs>
          <w:tab w:val="left" w:pos="720"/>
        </w:tabs>
        <w:rPr>
          <w:rFonts w:ascii="Georgia" w:eastAsia="Bookman Old Style" w:hAnsi="Georgia" w:cs="Bookman Old Style"/>
          <w:sz w:val="22"/>
          <w:szCs w:val="22"/>
        </w:rPr>
      </w:pPr>
      <w:r>
        <w:rPr>
          <w:rFonts w:ascii="Georgia" w:eastAsia="Bookman Old Style" w:hAnsi="Georgia" w:cs="Bookman Old Style"/>
          <w:b/>
          <w:bCs/>
          <w:sz w:val="22"/>
          <w:szCs w:val="22"/>
        </w:rPr>
        <w:t>7</w:t>
      </w:r>
      <w:r w:rsidR="008427D7">
        <w:rPr>
          <w:rFonts w:ascii="Georgia" w:eastAsia="Bookman Old Style" w:hAnsi="Georgia" w:cs="Bookman Old Style"/>
          <w:b/>
          <w:bCs/>
          <w:sz w:val="22"/>
          <w:szCs w:val="22"/>
        </w:rPr>
        <w:t>.</w:t>
      </w:r>
      <w:r w:rsidR="008427D7">
        <w:rPr>
          <w:rFonts w:ascii="Georgia" w:eastAsia="Bookman Old Style" w:hAnsi="Georgia" w:cs="Bookman Old Style"/>
          <w:sz w:val="22"/>
          <w:szCs w:val="22"/>
        </w:rPr>
        <w:t xml:space="preserve">d.  Sunbelt Rental </w:t>
      </w:r>
      <w:bookmarkStart w:id="4" w:name="_heading=h.9j54oz67r4p8" w:colFirst="0" w:colLast="0"/>
      <w:bookmarkEnd w:id="4"/>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Cerrada</w:t>
      </w:r>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Closed session accouncements, if any/auncios de session cerrada si los hay</w:t>
      </w:r>
    </w:p>
    <w:p w14:paraId="6A48E8C8" w14:textId="77777777" w:rsidR="007B331D" w:rsidRPr="007B331D" w:rsidRDefault="007B331D" w:rsidP="007B331D">
      <w:pPr>
        <w:shd w:val="clear" w:color="auto" w:fill="FFFFFF"/>
        <w:rPr>
          <w:rFonts w:eastAsia="Times New Roman"/>
          <w:color w:val="222222"/>
          <w:sz w:val="20"/>
          <w:szCs w:val="20"/>
        </w:rPr>
      </w:pPr>
      <w:r w:rsidRPr="007B331D">
        <w:rPr>
          <w:rFonts w:ascii="Aptos Display" w:eastAsia="Times New Roman" w:hAnsi="Aptos Display"/>
          <w:color w:val="222222"/>
          <w:sz w:val="20"/>
          <w:szCs w:val="20"/>
        </w:rPr>
        <w:t>ITEM No. 1 :</w:t>
      </w:r>
    </w:p>
    <w:p w14:paraId="0A173C11" w14:textId="6F18F3EB"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b/>
          <w:bCs/>
          <w:color w:val="222222"/>
          <w:sz w:val="20"/>
          <w:szCs w:val="20"/>
        </w:rPr>
        <w:t>Conference with Legal Counsel — Anticipated Litigation</w:t>
      </w:r>
      <w:r w:rsidRPr="007B331D">
        <w:rPr>
          <w:rFonts w:ascii="Georgia" w:eastAsia="Times New Roman" w:hAnsi="Georgia"/>
          <w:color w:val="222222"/>
          <w:sz w:val="20"/>
          <w:szCs w:val="20"/>
        </w:rPr>
        <w:br/>
      </w:r>
      <w:r w:rsidRPr="007B331D">
        <w:rPr>
          <w:rFonts w:ascii="Georgia" w:eastAsia="Times New Roman" w:hAnsi="Georgia"/>
          <w:b/>
          <w:bCs/>
          <w:color w:val="222222"/>
          <w:sz w:val="20"/>
          <w:szCs w:val="20"/>
        </w:rPr>
        <w:t>Authority:</w:t>
      </w:r>
      <w:r w:rsidRPr="007B331D">
        <w:rPr>
          <w:rFonts w:ascii="Georgia" w:eastAsia="Times New Roman" w:hAnsi="Georgia"/>
          <w:color w:val="222222"/>
          <w:sz w:val="20"/>
          <w:szCs w:val="20"/>
        </w:rPr>
        <w:t> Gov. Code </w:t>
      </w:r>
      <w:r w:rsidRPr="007B331D">
        <w:rPr>
          <w:rFonts w:ascii="Georgia" w:eastAsia="Times New Roman" w:hAnsi="Georgia"/>
          <w:b/>
          <w:bCs/>
          <w:color w:val="222222"/>
          <w:sz w:val="20"/>
          <w:szCs w:val="20"/>
        </w:rPr>
        <w:t>§</w:t>
      </w:r>
      <w:r w:rsidRPr="007B331D">
        <w:rPr>
          <w:rFonts w:ascii="Times New Roman" w:eastAsia="Times New Roman" w:hAnsi="Times New Roman" w:cs="Times New Roman"/>
          <w:b/>
          <w:bCs/>
          <w:color w:val="222222"/>
          <w:sz w:val="20"/>
          <w:szCs w:val="20"/>
        </w:rPr>
        <w:t> </w:t>
      </w:r>
      <w:r w:rsidRPr="007B331D">
        <w:rPr>
          <w:rFonts w:ascii="Georgia" w:eastAsia="Times New Roman" w:hAnsi="Georgia"/>
          <w:b/>
          <w:bCs/>
          <w:color w:val="222222"/>
          <w:sz w:val="20"/>
          <w:szCs w:val="20"/>
        </w:rPr>
        <w:t>54956.9(d)(4)</w:t>
      </w:r>
      <w:r w:rsidRPr="007B331D">
        <w:rPr>
          <w:rFonts w:ascii="Georgia" w:eastAsia="Times New Roman" w:hAnsi="Georgia"/>
          <w:color w:val="222222"/>
          <w:sz w:val="20"/>
          <w:szCs w:val="20"/>
        </w:rPr>
        <w:t> </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07BD6AB"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ITEM No. 2</w:t>
      </w:r>
    </w:p>
    <w:p w14:paraId="07618DBF" w14:textId="3729030E" w:rsidR="007B331D" w:rsidRPr="007C7498" w:rsidRDefault="007B331D" w:rsidP="007C7498">
      <w:pPr>
        <w:shd w:val="clear" w:color="auto" w:fill="FFFFFF"/>
        <w:rPr>
          <w:rFonts w:eastAsia="Times New Roman"/>
          <w:color w:val="222222"/>
          <w:sz w:val="20"/>
          <w:szCs w:val="20"/>
        </w:rPr>
      </w:pPr>
      <w:r w:rsidRPr="007B331D">
        <w:rPr>
          <w:rFonts w:ascii="Georgia" w:eastAsia="Times New Roman" w:hAnsi="Georgia"/>
          <w:b/>
          <w:bCs/>
          <w:color w:val="222222"/>
          <w:sz w:val="20"/>
          <w:szCs w:val="20"/>
        </w:rPr>
        <w:t>Conference with Legal Counsel — Existing Litigation</w:t>
      </w:r>
      <w:r w:rsidRPr="007B331D">
        <w:rPr>
          <w:rFonts w:ascii="Georgia" w:eastAsia="Times New Roman" w:hAnsi="Georgia"/>
          <w:color w:val="222222"/>
          <w:sz w:val="20"/>
          <w:szCs w:val="20"/>
        </w:rPr>
        <w:br/>
      </w:r>
      <w:r w:rsidRPr="007B331D">
        <w:rPr>
          <w:rFonts w:ascii="Georgia" w:eastAsia="Times New Roman" w:hAnsi="Georgia"/>
          <w:b/>
          <w:bCs/>
          <w:color w:val="222222"/>
          <w:sz w:val="20"/>
          <w:szCs w:val="20"/>
        </w:rPr>
        <w:t>Authority:</w:t>
      </w:r>
      <w:r w:rsidRPr="007B331D">
        <w:rPr>
          <w:rFonts w:ascii="Georgia" w:eastAsia="Times New Roman" w:hAnsi="Georgia"/>
          <w:color w:val="222222"/>
          <w:sz w:val="20"/>
          <w:szCs w:val="20"/>
        </w:rPr>
        <w:t> Government Code </w:t>
      </w:r>
      <w:r w:rsidRPr="007B331D">
        <w:rPr>
          <w:rFonts w:ascii="Georgia" w:eastAsia="Times New Roman" w:hAnsi="Georgia"/>
          <w:b/>
          <w:bCs/>
          <w:color w:val="222222"/>
          <w:sz w:val="20"/>
          <w:szCs w:val="20"/>
        </w:rPr>
        <w:t>§ 54956.9(d)(1)</w:t>
      </w: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Action taken:_____________________________________________________________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Moved:______;Seconded;________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levanta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Moved:_____; Seconded:____; Ayes:___ Noes:___ Abstain:__ Absent:____</w:t>
      </w:r>
    </w:p>
    <w:p w14:paraId="1D357962" w14:textId="3F782166"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Adjourned at________P.M.</w:t>
      </w:r>
      <w:r w:rsidR="008B4762">
        <w:rPr>
          <w:rFonts w:ascii="Bookman Old Style" w:eastAsia="Bookman Old Style" w:hAnsi="Bookman Old Style" w:cs="Bookman Old Style"/>
        </w:rPr>
        <w:t xml:space="preserve">  </w:t>
      </w:r>
      <w:r w:rsidR="007E17D7">
        <w:rPr>
          <w:rFonts w:ascii="Bookman Old Style" w:eastAsia="Bookman Old Style" w:hAnsi="Bookman Old Style" w:cs="Bookman Old Style"/>
        </w:rPr>
        <w:t xml:space="preserve">          </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600BF640" w:rsidR="00802B5C" w:rsidRDefault="00441DD3">
      <w:pPr>
        <w:jc w:val="both"/>
        <w:rPr>
          <w:rFonts w:ascii="Bookman Old Style" w:eastAsia="Bookman Old Style" w:hAnsi="Bookman Old Style" w:cs="Bookman Old Style"/>
        </w:rPr>
      </w:pPr>
      <w:r>
        <w:rPr>
          <w:rFonts w:ascii="Bookman Old Style" w:eastAsia="Bookman Old Style" w:hAnsi="Bookman Old Style" w:cs="Bookman Old Style"/>
          <w:b/>
          <w:bCs/>
        </w:rPr>
        <w:t>February</w:t>
      </w:r>
      <w:r w:rsidR="00221527">
        <w:rPr>
          <w:rFonts w:ascii="Bookman Old Style" w:eastAsia="Bookman Old Style" w:hAnsi="Bookman Old Style" w:cs="Bookman Old Style"/>
          <w:b/>
          <w:bCs/>
        </w:rPr>
        <w:t xml:space="preserve"> 17</w:t>
      </w:r>
      <w:r w:rsidR="00221527" w:rsidRPr="00221527">
        <w:rPr>
          <w:rFonts w:ascii="Bookman Old Style" w:eastAsia="Bookman Old Style" w:hAnsi="Bookman Old Style" w:cs="Bookman Old Style"/>
          <w:b/>
          <w:bCs/>
          <w:vertAlign w:val="superscript"/>
        </w:rPr>
        <w:t>th</w:t>
      </w:r>
      <w:r w:rsidR="00221527">
        <w:rPr>
          <w:rFonts w:ascii="Bookman Old Style" w:eastAsia="Bookman Old Style" w:hAnsi="Bookman Old Style" w:cs="Bookman Old Style"/>
          <w:b/>
          <w:bCs/>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0B32" w14:textId="77777777" w:rsidR="002E36D2" w:rsidRDefault="002E36D2">
      <w:r>
        <w:separator/>
      </w:r>
    </w:p>
  </w:endnote>
  <w:endnote w:type="continuationSeparator" w:id="0">
    <w:p w14:paraId="099BE7FD" w14:textId="77777777" w:rsidR="002E36D2" w:rsidRDefault="002E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E974" w14:textId="77777777" w:rsidR="002E36D2" w:rsidRDefault="002E36D2">
      <w:r>
        <w:separator/>
      </w:r>
    </w:p>
  </w:footnote>
  <w:footnote w:type="continuationSeparator" w:id="0">
    <w:p w14:paraId="10526E87" w14:textId="77777777" w:rsidR="002E36D2" w:rsidRDefault="002E3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C1"/>
    <w:multiLevelType w:val="hybridMultilevel"/>
    <w:tmpl w:val="668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4"/>
  </w:num>
  <w:num w:numId="2" w16cid:durableId="380980088">
    <w:abstractNumId w:val="1"/>
  </w:num>
  <w:num w:numId="3" w16cid:durableId="36781357">
    <w:abstractNumId w:val="2"/>
  </w:num>
  <w:num w:numId="4" w16cid:durableId="488641232">
    <w:abstractNumId w:val="3"/>
  </w:num>
  <w:num w:numId="5" w16cid:durableId="108869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0672"/>
    <w:rsid w:val="00004333"/>
    <w:rsid w:val="000441D9"/>
    <w:rsid w:val="00055D7C"/>
    <w:rsid w:val="0007253B"/>
    <w:rsid w:val="00075011"/>
    <w:rsid w:val="00085FDC"/>
    <w:rsid w:val="000C2C2D"/>
    <w:rsid w:val="000C68A3"/>
    <w:rsid w:val="000F7BEB"/>
    <w:rsid w:val="00105F8A"/>
    <w:rsid w:val="00120B26"/>
    <w:rsid w:val="00133314"/>
    <w:rsid w:val="001427CE"/>
    <w:rsid w:val="001A54FB"/>
    <w:rsid w:val="00221527"/>
    <w:rsid w:val="00236594"/>
    <w:rsid w:val="00240E6B"/>
    <w:rsid w:val="002416D5"/>
    <w:rsid w:val="0024778E"/>
    <w:rsid w:val="002515A4"/>
    <w:rsid w:val="00287AF8"/>
    <w:rsid w:val="002A6600"/>
    <w:rsid w:val="002E36D2"/>
    <w:rsid w:val="003010B7"/>
    <w:rsid w:val="0030405E"/>
    <w:rsid w:val="003130CA"/>
    <w:rsid w:val="003236AF"/>
    <w:rsid w:val="00356DC8"/>
    <w:rsid w:val="003712FC"/>
    <w:rsid w:val="003750AB"/>
    <w:rsid w:val="00381708"/>
    <w:rsid w:val="003B268C"/>
    <w:rsid w:val="003C7FF4"/>
    <w:rsid w:val="003F1DE9"/>
    <w:rsid w:val="00405246"/>
    <w:rsid w:val="00432A3D"/>
    <w:rsid w:val="00441DD3"/>
    <w:rsid w:val="004611FF"/>
    <w:rsid w:val="0046157E"/>
    <w:rsid w:val="004C3F85"/>
    <w:rsid w:val="004C7BBE"/>
    <w:rsid w:val="004E41F1"/>
    <w:rsid w:val="00500CCF"/>
    <w:rsid w:val="00513B51"/>
    <w:rsid w:val="00514174"/>
    <w:rsid w:val="0052135A"/>
    <w:rsid w:val="00546D53"/>
    <w:rsid w:val="00567563"/>
    <w:rsid w:val="0061002E"/>
    <w:rsid w:val="006120C6"/>
    <w:rsid w:val="0063171C"/>
    <w:rsid w:val="006356EC"/>
    <w:rsid w:val="00636175"/>
    <w:rsid w:val="006503ED"/>
    <w:rsid w:val="00657399"/>
    <w:rsid w:val="0069777C"/>
    <w:rsid w:val="006D2539"/>
    <w:rsid w:val="006E073E"/>
    <w:rsid w:val="006E23CA"/>
    <w:rsid w:val="006E57C6"/>
    <w:rsid w:val="0070324D"/>
    <w:rsid w:val="00704F06"/>
    <w:rsid w:val="00714B32"/>
    <w:rsid w:val="00717257"/>
    <w:rsid w:val="00724032"/>
    <w:rsid w:val="00747B7C"/>
    <w:rsid w:val="007679CF"/>
    <w:rsid w:val="00783418"/>
    <w:rsid w:val="00785E4B"/>
    <w:rsid w:val="00791010"/>
    <w:rsid w:val="00794D6C"/>
    <w:rsid w:val="007B331D"/>
    <w:rsid w:val="007B3606"/>
    <w:rsid w:val="007C7498"/>
    <w:rsid w:val="007E17D7"/>
    <w:rsid w:val="007E6898"/>
    <w:rsid w:val="00802B5C"/>
    <w:rsid w:val="00804FB4"/>
    <w:rsid w:val="008159D4"/>
    <w:rsid w:val="00817988"/>
    <w:rsid w:val="008427D7"/>
    <w:rsid w:val="00852075"/>
    <w:rsid w:val="00877212"/>
    <w:rsid w:val="00892DC0"/>
    <w:rsid w:val="008A2FDD"/>
    <w:rsid w:val="008B4762"/>
    <w:rsid w:val="008D425A"/>
    <w:rsid w:val="008F5448"/>
    <w:rsid w:val="008F71C0"/>
    <w:rsid w:val="0091386D"/>
    <w:rsid w:val="009275F9"/>
    <w:rsid w:val="00935677"/>
    <w:rsid w:val="00935AF0"/>
    <w:rsid w:val="00935C72"/>
    <w:rsid w:val="00955046"/>
    <w:rsid w:val="009916EA"/>
    <w:rsid w:val="00993FFB"/>
    <w:rsid w:val="009A7730"/>
    <w:rsid w:val="009B1B4C"/>
    <w:rsid w:val="009B5B7C"/>
    <w:rsid w:val="00A05869"/>
    <w:rsid w:val="00A15C9C"/>
    <w:rsid w:val="00A168E6"/>
    <w:rsid w:val="00A24B4B"/>
    <w:rsid w:val="00A35F38"/>
    <w:rsid w:val="00A55935"/>
    <w:rsid w:val="00A64AC5"/>
    <w:rsid w:val="00A76D7F"/>
    <w:rsid w:val="00A92A3B"/>
    <w:rsid w:val="00A95514"/>
    <w:rsid w:val="00AF1C2E"/>
    <w:rsid w:val="00B2386A"/>
    <w:rsid w:val="00B535AD"/>
    <w:rsid w:val="00B54881"/>
    <w:rsid w:val="00B635A8"/>
    <w:rsid w:val="00B90E04"/>
    <w:rsid w:val="00B92653"/>
    <w:rsid w:val="00B93473"/>
    <w:rsid w:val="00BA5C7D"/>
    <w:rsid w:val="00BB55F9"/>
    <w:rsid w:val="00BD7E3B"/>
    <w:rsid w:val="00BE6D85"/>
    <w:rsid w:val="00BF78B3"/>
    <w:rsid w:val="00C043AD"/>
    <w:rsid w:val="00C06AB5"/>
    <w:rsid w:val="00C23638"/>
    <w:rsid w:val="00C2486C"/>
    <w:rsid w:val="00C2673B"/>
    <w:rsid w:val="00C35441"/>
    <w:rsid w:val="00C577BD"/>
    <w:rsid w:val="00C6462B"/>
    <w:rsid w:val="00C76784"/>
    <w:rsid w:val="00C81DC6"/>
    <w:rsid w:val="00CA6C2C"/>
    <w:rsid w:val="00CB1DAC"/>
    <w:rsid w:val="00CD0B74"/>
    <w:rsid w:val="00CD7834"/>
    <w:rsid w:val="00CE0356"/>
    <w:rsid w:val="00CE5861"/>
    <w:rsid w:val="00D04154"/>
    <w:rsid w:val="00D11794"/>
    <w:rsid w:val="00D22AB3"/>
    <w:rsid w:val="00D42C5A"/>
    <w:rsid w:val="00D62D8D"/>
    <w:rsid w:val="00DB11F2"/>
    <w:rsid w:val="00DC2FAA"/>
    <w:rsid w:val="00DD3586"/>
    <w:rsid w:val="00DE1A20"/>
    <w:rsid w:val="00E11D47"/>
    <w:rsid w:val="00E159D0"/>
    <w:rsid w:val="00E17106"/>
    <w:rsid w:val="00E34F76"/>
    <w:rsid w:val="00E70084"/>
    <w:rsid w:val="00E833AC"/>
    <w:rsid w:val="00E859C0"/>
    <w:rsid w:val="00E95E56"/>
    <w:rsid w:val="00EB24BF"/>
    <w:rsid w:val="00EC5BDF"/>
    <w:rsid w:val="00ED64DD"/>
    <w:rsid w:val="00EE2E49"/>
    <w:rsid w:val="00EF0F1C"/>
    <w:rsid w:val="00EF75BE"/>
    <w:rsid w:val="00F30DA0"/>
    <w:rsid w:val="00F5467E"/>
    <w:rsid w:val="00F55E1B"/>
    <w:rsid w:val="00F66652"/>
    <w:rsid w:val="00FA413F"/>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Props1.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21</cp:revision>
  <cp:lastPrinted>2026-01-24T02:20:00Z</cp:lastPrinted>
  <dcterms:created xsi:type="dcterms:W3CDTF">2026-01-20T19:45:00Z</dcterms:created>
  <dcterms:modified xsi:type="dcterms:W3CDTF">2026-01-24T03:14:00Z</dcterms:modified>
</cp:coreProperties>
</file>